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240"/>
        <w:jc w:val="center"/>
        <w:rPr/>
      </w:pPr>
      <w:r>
        <w:rPr/>
        <w:t>POLITYKA PRYWATNOŚCI</w:t>
      </w:r>
    </w:p>
    <w:p>
      <w:pPr>
        <w:pStyle w:val="Heading1"/>
        <w:rPr/>
      </w:pPr>
      <w:r>
        <w:rPr/>
        <w:t>1. Administrator Danych Osobowych</w:t>
      </w:r>
    </w:p>
    <w:p>
      <w:pPr>
        <w:pStyle w:val="ContactBox"/>
        <w:shd w:val="clear" w:fill="E8F4F8"/>
        <w:rPr/>
      </w:pPr>
      <w:r>
        <w:rPr>
          <w:b/>
          <w:bCs/>
        </w:rPr>
        <w:t>Administratorem Państwa danych osobowych jest:</w:t>
      </w:r>
    </w:p>
    <w:p>
      <w:pPr>
        <w:pStyle w:val="ContactBox"/>
        <w:shd w:val="clear" w:fill="E8F4F8"/>
        <w:rPr/>
      </w:pPr>
      <w:r>
        <w:rPr>
          <w:b/>
          <w:bCs/>
        </w:rPr>
        <w:t>IPOLISA Sp. z o.o.</w:t>
      </w:r>
    </w:p>
    <w:p>
      <w:pPr>
        <w:pStyle w:val="ContactBox"/>
        <w:shd w:val="clear" w:fill="E8F4F8"/>
        <w:rPr/>
      </w:pPr>
      <w:r>
        <w:rPr/>
        <w:t>ul. Leśna 5A</w:t>
      </w:r>
    </w:p>
    <w:p>
      <w:pPr>
        <w:pStyle w:val="ContactBox"/>
        <w:shd w:val="clear" w:fill="E8F4F8"/>
        <w:rPr/>
      </w:pPr>
      <w:r>
        <w:rPr/>
        <w:t>56-416 Goszcz</w:t>
      </w:r>
    </w:p>
    <w:p>
      <w:pPr>
        <w:pStyle w:val="ContactBox"/>
        <w:shd w:val="clear" w:fill="E8F4F8"/>
        <w:rPr/>
      </w:pPr>
      <w:r>
        <w:rPr/>
        <w:t>Numer KRS: 0000888324</w:t>
      </w:r>
    </w:p>
    <w:p>
      <w:pPr>
        <w:pStyle w:val="ContactBox"/>
        <w:shd w:val="clear" w:fill="E8F4F8"/>
        <w:rPr/>
      </w:pPr>
      <w:r>
        <w:rPr/>
        <w:t>NIP: 8992895138</w:t>
      </w:r>
    </w:p>
    <w:p>
      <w:pPr>
        <w:pStyle w:val="ContactBox"/>
        <w:shd w:val="clear" w:fill="E8F4F8"/>
        <w:rPr/>
      </w:pPr>
      <w:r>
        <w:rPr/>
        <w:t>REGON: 388389744</w:t>
      </w:r>
    </w:p>
    <w:p>
      <w:pPr>
        <w:pStyle w:val="ContactBox"/>
        <w:shd w:val="clear" w:fill="E8F4F8"/>
        <w:rPr/>
      </w:pPr>
      <w:r>
        <w:rPr/>
        <w:t xml:space="preserve">E-mail: </w:t>
      </w:r>
      <w:r>
        <w:rPr>
          <w:b/>
          <w:bCs/>
        </w:rPr>
        <w:t>rodo@ipolisa.pl</w:t>
      </w:r>
    </w:p>
    <w:p>
      <w:pPr>
        <w:pStyle w:val="ContactBox"/>
        <w:shd w:val="clear" w:fill="E8F4F8"/>
        <w:rPr>
          <w:b/>
          <w:b/>
          <w:bCs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fill="ECF0F1"/>
        <w:spacing w:before="120" w:after="120"/>
        <w:ind w:left="360" w:right="360" w:hanging="0"/>
        <w:rPr/>
      </w:pPr>
      <w:r>
        <w:rPr>
          <w:b/>
          <w:bCs/>
        </w:rPr>
        <w:t xml:space="preserve">UWAGA: </w:t>
      </w:r>
      <w:r>
        <w:rPr/>
        <w:t>Administrator przykłada najwyższą wagę do ochrony prywatności i bezpieczeństwa danych osobowych swoich klientów. Niniejsza Polityka Prywatności określa zasady przetwarzania i ochrony danych osobowych przekazywanych przez Użytkowników w związku z korzystaniem z usług świadczonych przez Administratora za pośrednictwem serwisu internetowego.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2</w:t>
      </w:r>
      <w:r>
        <w:rPr/>
        <w:t>. Podstawy Prawne Przetwarzania Danych</w:t>
      </w:r>
    </w:p>
    <w:p>
      <w:pPr>
        <w:pStyle w:val="Normal"/>
        <w:rPr/>
      </w:pPr>
      <w:r>
        <w:rPr/>
        <w:t>Państwa dane osobowe przetwarzane są zgodnie z: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</w:t>
      </w:r>
      <w:r>
        <w:rPr>
          <w:b/>
          <w:bCs/>
        </w:rPr>
        <w:t>RODO</w:t>
      </w:r>
    </w:p>
    <w:p>
      <w:pPr>
        <w:pStyle w:val="ListParagraph"/>
        <w:numPr>
          <w:ilvl w:val="0"/>
          <w:numId w:val="1"/>
        </w:numPr>
        <w:rPr/>
      </w:pPr>
      <w:r>
        <w:rPr/>
        <w:t>Ustawą z dnia 10 maja 2018 r. o ochronie danych osobowych</w:t>
      </w:r>
    </w:p>
    <w:p>
      <w:pPr>
        <w:pStyle w:val="ListParagraph"/>
        <w:numPr>
          <w:ilvl w:val="0"/>
          <w:numId w:val="1"/>
        </w:numPr>
        <w:rPr/>
      </w:pPr>
      <w:r>
        <w:rPr/>
        <w:t>Ustawą z dnia 18 lipca 2002 r. o świadczeniu usług drogą elektroniczną</w:t>
      </w:r>
    </w:p>
    <w:p>
      <w:pPr>
        <w:pStyle w:val="ListParagraph"/>
        <w:numPr>
          <w:ilvl w:val="0"/>
          <w:numId w:val="1"/>
        </w:numPr>
        <w:rPr/>
      </w:pPr>
      <w:r>
        <w:rPr/>
        <w:t>Ustawą z dnia 16 lipca 2004 r. Prawo telekomunikacyjne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3</w:t>
      </w:r>
      <w:r>
        <w:rPr/>
        <w:t>. Cele i Podstawy Prawne Przetwarzania Danych</w:t>
      </w:r>
    </w:p>
    <w:tbl>
      <w:tblPr>
        <w:tblW w:w="9360" w:type="dxa"/>
        <w:jc w:val="left"/>
        <w:tblInd w:w="0" w:type="dxa"/>
        <w:tblLayout w:type="fixed"/>
        <w:tblCellMar>
          <w:top w:w="100" w:type="dxa"/>
          <w:left w:w="180" w:type="dxa"/>
          <w:bottom w:w="100" w:type="dxa"/>
          <w:right w:w="180" w:type="dxa"/>
        </w:tblCellMar>
      </w:tblPr>
      <w:tblGrid>
        <w:gridCol w:w="3120"/>
        <w:gridCol w:w="3120"/>
        <w:gridCol w:w="3120"/>
      </w:tblGrid>
      <w:tr>
        <w:trPr>
          <w:tblHeader w:val="true"/>
        </w:trPr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3498DB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FFFFFF"/>
              </w:rPr>
              <w:t>Cel przetwarzania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3498DB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FFFFFF"/>
              </w:rPr>
              <w:t>Podstawa prawna (RODO)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3498DB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FFFFFF"/>
              </w:rPr>
              <w:t>Okres przechowywania</w:t>
            </w:r>
          </w:p>
        </w:tc>
      </w:tr>
      <w:tr>
        <w:trPr/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Obsługa zapytań ofertowych i przygotowanie ofert ubezpieczeniowych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Art. 6 ust. 1 lit. b) – wykonanie umowy / podjęcie działań przed zawarciem umowy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Do momentu zakończenia obsługi zapytania lub 3 lata od ostatniego kontaktu</w:t>
            </w:r>
          </w:p>
        </w:tc>
      </w:tr>
      <w:tr>
        <w:trPr/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Zawarcie i wykonanie umowy ubezpieczenia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Art. 6 ust. 1 lit. b) – wykonanie umowy</w:t>
            </w:r>
          </w:p>
          <w:p>
            <w:pPr>
              <w:pStyle w:val="Normal"/>
              <w:widowControl w:val="false"/>
              <w:rPr/>
            </w:pPr>
            <w:r>
              <w:rPr/>
              <w:t>Art. 6 ust. 1 lit. c) – obowiązek prawny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Przez okres trwania umowy oraz 10 lat po jej zakończeniu</w:t>
            </w:r>
          </w:p>
        </w:tc>
      </w:tr>
      <w:tr>
        <w:trPr/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Marketing bezpośredni produktów Administratora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Art. 6 ust. 1 lit. f) – prawnie uzasadniony interes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Do momentu wniesienia sprzeciwu, nie dłużej niż 3 lata</w:t>
            </w:r>
          </w:p>
        </w:tc>
      </w:tr>
      <w:tr>
        <w:trPr/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Marketing (newsletter, oferty elektroniczne)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Art. 6 ust. 1 lit. a) – zgoda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widowControl w:val="false"/>
              <w:rPr/>
            </w:pPr>
            <w:r>
              <w:rPr/>
              <w:t>Do momentu wycofania zgody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4</w:t>
      </w:r>
      <w:r>
        <w:rPr/>
        <w:t>. Zakres Przetwarzanych Danych</w:t>
      </w:r>
    </w:p>
    <w:p>
      <w:pPr>
        <w:pStyle w:val="Normal"/>
        <w:rPr/>
      </w:pPr>
      <w:r>
        <w:rPr/>
        <w:t>Administrator może przetwarzać następujące kategorie danych osobowych:</w:t>
      </w:r>
    </w:p>
    <w:p>
      <w:pPr>
        <w:pStyle w:val="Heading2"/>
        <w:rPr/>
      </w:pPr>
      <w:r>
        <w:rPr/>
        <w:t>4</w:t>
      </w:r>
      <w:r>
        <w:rPr/>
        <w:t>.1. Dane podstawowe:</w:t>
      </w:r>
    </w:p>
    <w:p>
      <w:pPr>
        <w:pStyle w:val="ListParagraph"/>
        <w:numPr>
          <w:ilvl w:val="0"/>
          <w:numId w:val="1"/>
        </w:numPr>
        <w:rPr/>
      </w:pPr>
      <w:r>
        <w:rPr/>
        <w:t>Imię i nazwisko</w:t>
      </w:r>
    </w:p>
    <w:p>
      <w:pPr>
        <w:pStyle w:val="ListParagraph"/>
        <w:numPr>
          <w:ilvl w:val="0"/>
          <w:numId w:val="1"/>
        </w:numPr>
        <w:rPr/>
      </w:pPr>
      <w:r>
        <w:rPr/>
        <w:t>Data urodzenia</w:t>
      </w:r>
    </w:p>
    <w:p>
      <w:pPr>
        <w:pStyle w:val="ListParagraph"/>
        <w:numPr>
          <w:ilvl w:val="0"/>
          <w:numId w:val="1"/>
        </w:numPr>
        <w:rPr/>
      </w:pPr>
      <w:r>
        <w:rPr/>
        <w:t>PESEL</w:t>
      </w:r>
    </w:p>
    <w:p>
      <w:pPr>
        <w:pStyle w:val="ListParagraph"/>
        <w:numPr>
          <w:ilvl w:val="0"/>
          <w:numId w:val="1"/>
        </w:numPr>
        <w:rPr/>
      </w:pPr>
      <w:r>
        <w:rPr/>
        <w:t>Adres zamieszkania/siedziby</w:t>
      </w:r>
    </w:p>
    <w:p>
      <w:pPr>
        <w:pStyle w:val="ListParagraph"/>
        <w:numPr>
          <w:ilvl w:val="0"/>
          <w:numId w:val="1"/>
        </w:numPr>
        <w:rPr/>
      </w:pPr>
      <w:r>
        <w:rPr/>
        <w:t>Adres e-mail</w:t>
      </w:r>
    </w:p>
    <w:p>
      <w:pPr>
        <w:pStyle w:val="ListParagraph"/>
        <w:numPr>
          <w:ilvl w:val="0"/>
          <w:numId w:val="1"/>
        </w:numPr>
        <w:rPr/>
      </w:pPr>
      <w:r>
        <w:rPr/>
        <w:t>Numer telefonu</w:t>
      </w:r>
    </w:p>
    <w:p>
      <w:pPr>
        <w:pStyle w:val="ListParagraph"/>
        <w:numPr>
          <w:ilvl w:val="0"/>
          <w:numId w:val="1"/>
        </w:numPr>
        <w:rPr/>
      </w:pPr>
      <w:r>
        <w:rPr/>
        <w:t>N</w:t>
      </w:r>
      <w:r>
        <w:rPr/>
        <w:t>umer konta bankowego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4</w:t>
      </w:r>
      <w:r>
        <w:rPr/>
        <w:t>.2. Dane związane z ubezpieczeniem:</w:t>
      </w:r>
    </w:p>
    <w:p>
      <w:pPr>
        <w:pStyle w:val="ListParagraph"/>
        <w:numPr>
          <w:ilvl w:val="0"/>
          <w:numId w:val="1"/>
        </w:numPr>
        <w:rPr/>
      </w:pPr>
      <w:r>
        <w:rPr/>
        <w:t>Dane pojazdu (marka, model, numer rejestracyjny, VIN)</w:t>
      </w:r>
    </w:p>
    <w:p>
      <w:pPr>
        <w:pStyle w:val="ListParagraph"/>
        <w:numPr>
          <w:ilvl w:val="0"/>
          <w:numId w:val="1"/>
        </w:numPr>
        <w:rPr/>
      </w:pPr>
      <w:r>
        <w:rPr/>
        <w:t>Dane nieruchomości</w:t>
      </w:r>
    </w:p>
    <w:p>
      <w:pPr>
        <w:pStyle w:val="ListParagraph"/>
        <w:numPr>
          <w:ilvl w:val="0"/>
          <w:numId w:val="1"/>
        </w:numPr>
        <w:rPr/>
      </w:pPr>
      <w:r>
        <w:rPr/>
        <w:t>Historia ubezpieczeń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5</w:t>
      </w:r>
      <w:r>
        <w:rPr/>
        <w:t>. Odbiorcy Danych Osobowych</w:t>
      </w:r>
    </w:p>
    <w:p>
      <w:pPr>
        <w:pStyle w:val="Normal"/>
        <w:rPr/>
      </w:pPr>
      <w:r>
        <w:rPr/>
        <w:t>Państwa dane osobowe mogą być przekazywane następującym kategoriom odbiorców: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>Towarzystwa Ubezpieczeniowe</w:t>
      </w:r>
      <w:r>
        <w:rPr/>
        <w:t xml:space="preserve"> – w celu przygotowania ofert ubezpieczeniowych, zawarcia i wykonania umów ubezpieczenia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>Agenci i brokerzy ubezpieczeniowi</w:t>
      </w:r>
      <w:r>
        <w:rPr/>
        <w:t xml:space="preserve"> – współpracujący z Administratorem w zakresie dystrybucji produktów ubezpieczeniowych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>Podmioty świadczące usługi IT</w:t>
      </w:r>
      <w:r>
        <w:rPr/>
        <w:t xml:space="preserve"> – hosting, serwery, systemy CRM, systemy porównywania ofert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>Podmioty świadczące usługi księgowe i prawne</w:t>
      </w:r>
      <w:r>
        <w:rPr/>
        <w:t xml:space="preserve"> – w zakresie niezbędnym do prowadzenia działalności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>Organy państwowe i instytucje uprawnione</w:t>
      </w:r>
      <w:r>
        <w:rPr/>
        <w:t xml:space="preserve"> – na podstawie przepisów prawa (np. sądy, organy ścigania, organy nadzoru)</w:t>
      </w:r>
    </w:p>
    <w:p>
      <w:pPr>
        <w:pStyle w:val="Normal"/>
        <w:spacing w:before="120" w:after="0"/>
        <w:rPr/>
      </w:pPr>
      <w:r>
        <w:rPr>
          <w:b/>
          <w:bCs/>
        </w:rPr>
        <w:t>Wszyscy odbiorcy są zobowiązani do zachowania poufności i ochrony danych osobowych.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6</w:t>
      </w:r>
      <w:r>
        <w:rPr/>
        <w:t>. Prawa Osób, Których Dane Dotyczą</w:t>
      </w:r>
    </w:p>
    <w:p>
      <w:pPr>
        <w:pStyle w:val="Normal"/>
        <w:rPr/>
      </w:pPr>
      <w:r>
        <w:rPr/>
        <w:t>Przysługują Państwu następujące prawa:</w:t>
      </w:r>
    </w:p>
    <w:p>
      <w:pPr>
        <w:pStyle w:val="Heading2"/>
        <w:rPr/>
      </w:pPr>
      <w:r>
        <w:rPr/>
        <w:t>6</w:t>
      </w:r>
      <w:r>
        <w:rPr/>
        <w:t>.1. Prawo dostępu do danych (art. 15 RODO)</w:t>
      </w:r>
    </w:p>
    <w:p>
      <w:pPr>
        <w:pStyle w:val="Normal"/>
        <w:rPr/>
      </w:pPr>
      <w:r>
        <w:rPr/>
        <w:t>Mają Państwo prawo uzyskać od Administratora potwierdzenie, czy przetwarzane są dotyczące Państwa dane osobowe, oraz dostęp do tych danych wraz z informacjami o przetwarzaniu.</w:t>
      </w:r>
    </w:p>
    <w:p>
      <w:pPr>
        <w:pStyle w:val="Heading2"/>
        <w:rPr/>
      </w:pPr>
      <w:r>
        <w:rPr/>
        <w:t>6</w:t>
      </w:r>
      <w:r>
        <w:rPr/>
        <w:t>.2. Prawo do sprostowania danych (art. 16 RODO)</w:t>
      </w:r>
    </w:p>
    <w:p>
      <w:pPr>
        <w:pStyle w:val="Normal"/>
        <w:rPr/>
      </w:pPr>
      <w:r>
        <w:rPr/>
        <w:t>Mają Państwo prawo żądać od Administratora niezwłocznego sprostowania dotyczących Państwa danych osobowych, które są nieprawidłowe lub uzupełnienia niekompletnych danych.</w:t>
      </w:r>
    </w:p>
    <w:p>
      <w:pPr>
        <w:pStyle w:val="Heading2"/>
        <w:rPr/>
      </w:pPr>
      <w:r>
        <w:rPr/>
        <w:t>6</w:t>
      </w:r>
      <w:r>
        <w:rPr/>
        <w:t>.3. Prawo do usunięcia danych - prawo do bycia zapomnianym (art. 17 RODO)</w:t>
      </w:r>
    </w:p>
    <w:p>
      <w:pPr>
        <w:pStyle w:val="Normal"/>
        <w:rPr/>
      </w:pPr>
      <w:r>
        <w:rPr/>
        <w:t>Mają Państwo prawo żądać od Administratora niezwłocznego usunięcia dotyczących Państwa danych osobowych, jeżeli zachodzi jedna z okoliczności przewidzianych w RODO.</w:t>
      </w:r>
    </w:p>
    <w:p>
      <w:pPr>
        <w:pStyle w:val="Heading2"/>
        <w:rPr/>
      </w:pPr>
      <w:r>
        <w:rPr/>
        <w:t>6</w:t>
      </w:r>
      <w:r>
        <w:rPr/>
        <w:t>.4. Prawo sprzeciwu (art. 21 RODO)</w:t>
      </w:r>
    </w:p>
    <w:p>
      <w:pPr>
        <w:pStyle w:val="Normal"/>
        <w:rPr/>
      </w:pPr>
      <w:r>
        <w:rPr/>
        <w:t>Mają Państwo prawo w dowolnym momencie wnieść sprzeciw – z przyczyn związanych ze szczególną sytuacją – wobec przetwarzania danych na podstawie prawnie uzasadnionego interesu Administratora.</w:t>
      </w:r>
    </w:p>
    <w:p>
      <w:pPr>
        <w:pStyle w:val="Normal"/>
        <w:spacing w:before="120" w:after="0"/>
        <w:rPr/>
      </w:pPr>
      <w:r>
        <w:rPr>
          <w:b/>
          <w:bCs/>
        </w:rPr>
        <w:t>W przypadku przetwarzania danych do celów marketingu bezpośredniego, przysługuje Państwu prawo do wniesienia sprzeciwu w dowolnym momencie bez podawania przyczyny.</w:t>
      </w:r>
    </w:p>
    <w:p>
      <w:pPr>
        <w:pStyle w:val="Heading2"/>
        <w:rPr/>
      </w:pPr>
      <w:r>
        <w:rPr/>
        <w:t>6</w:t>
      </w:r>
      <w:r>
        <w:rPr/>
        <w:t>.5. Prawo do wniesienia skargi do organu nadzorczego</w:t>
      </w:r>
    </w:p>
    <w:p>
      <w:pPr>
        <w:pStyle w:val="Normal"/>
        <w:rPr/>
      </w:pPr>
      <w:r>
        <w:rPr/>
        <w:t>Mają Państwo prawo wnieść skargę do Prezesa Urzędu Ochrony Danych Osobowych:</w:t>
      </w:r>
    </w:p>
    <w:p>
      <w:pPr>
        <w:pStyle w:val="ContactBox"/>
        <w:shd w:val="clear" w:fill="E8F4F8"/>
        <w:rPr/>
      </w:pPr>
      <w:r>
        <w:rPr>
          <w:b/>
          <w:bCs/>
        </w:rPr>
        <w:t>Urząd Ochrony Danych Osobowych</w:t>
      </w:r>
    </w:p>
    <w:p>
      <w:pPr>
        <w:pStyle w:val="ContactBox"/>
        <w:shd w:val="clear" w:fill="E8F4F8"/>
        <w:rPr/>
      </w:pPr>
      <w:r>
        <w:rPr/>
        <w:t>ul. Stawki 2</w:t>
      </w:r>
    </w:p>
    <w:p>
      <w:pPr>
        <w:pStyle w:val="ContactBox"/>
        <w:shd w:val="clear" w:fill="E8F4F8"/>
        <w:rPr/>
      </w:pPr>
      <w:r>
        <w:rPr/>
        <w:t>00-193 Warszawa</w:t>
      </w:r>
    </w:p>
    <w:p>
      <w:pPr>
        <w:pStyle w:val="ContactBox"/>
        <w:shd w:val="clear" w:fill="E8F4F8"/>
        <w:rPr/>
      </w:pPr>
      <w:r>
        <w:rPr/>
        <w:t>Tel.: 22 531 03 00</w:t>
      </w:r>
    </w:p>
    <w:p>
      <w:pPr>
        <w:pStyle w:val="ContactBox"/>
        <w:shd w:val="clear" w:fill="E8F4F8"/>
        <w:rPr/>
      </w:pPr>
      <w:r>
        <w:rPr/>
        <w:t>E-mail: kancelaria@uodo.gov.pl</w:t>
      </w:r>
    </w:p>
    <w:p>
      <w:pPr>
        <w:pStyle w:val="ContactBox"/>
        <w:shd w:val="clear" w:fill="E8F4F8"/>
        <w:rPr/>
      </w:pPr>
      <w:r>
        <w:rPr/>
        <w:t>www.uodo.gov.pl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7</w:t>
      </w:r>
      <w:r>
        <w:rPr/>
        <w:t>. Bezpieczeństwo Danych</w:t>
      </w:r>
    </w:p>
    <w:p>
      <w:pPr>
        <w:pStyle w:val="Normal"/>
        <w:rPr/>
      </w:pPr>
      <w:r>
        <w:rPr/>
        <w:t>Administrator stosuje odpowiednie środki techniczne i organizacyjne zapewniające bezpieczeństwo danych osobowych, w tym:</w:t>
      </w:r>
    </w:p>
    <w:p>
      <w:pPr>
        <w:pStyle w:val="ListParagraph"/>
        <w:numPr>
          <w:ilvl w:val="0"/>
          <w:numId w:val="1"/>
        </w:numPr>
        <w:rPr/>
      </w:pPr>
      <w:r>
        <w:rPr/>
        <w:t>Szyfrowanie połączeń (SSL/TLS)</w:t>
      </w:r>
    </w:p>
    <w:p>
      <w:pPr>
        <w:pStyle w:val="ListParagraph"/>
        <w:numPr>
          <w:ilvl w:val="0"/>
          <w:numId w:val="1"/>
        </w:numPr>
        <w:rPr/>
      </w:pPr>
      <w:r>
        <w:rPr/>
        <w:t>Szyfrowanie przechowywanych danych wrażliwych</w:t>
      </w:r>
    </w:p>
    <w:p>
      <w:pPr>
        <w:pStyle w:val="ListParagraph"/>
        <w:numPr>
          <w:ilvl w:val="0"/>
          <w:numId w:val="1"/>
        </w:numPr>
        <w:rPr/>
      </w:pPr>
      <w:r>
        <w:rPr/>
        <w:t>Kontrolę dostępu do danych (uwierzytelnianie, autoryzacja)</w:t>
      </w:r>
    </w:p>
    <w:p>
      <w:pPr>
        <w:pStyle w:val="ListParagraph"/>
        <w:numPr>
          <w:ilvl w:val="0"/>
          <w:numId w:val="1"/>
        </w:numPr>
        <w:rPr/>
      </w:pPr>
      <w:r>
        <w:rPr/>
        <w:t>Regularne kopie zapasowe</w:t>
      </w:r>
    </w:p>
    <w:p>
      <w:pPr>
        <w:pStyle w:val="ListParagraph"/>
        <w:numPr>
          <w:ilvl w:val="0"/>
          <w:numId w:val="1"/>
        </w:numPr>
        <w:rPr/>
      </w:pPr>
      <w:r>
        <w:rPr/>
        <w:t>Monitoring bezpieczeństwa systemów IT</w:t>
      </w:r>
    </w:p>
    <w:p>
      <w:pPr>
        <w:pStyle w:val="ListParagraph"/>
        <w:numPr>
          <w:ilvl w:val="0"/>
          <w:numId w:val="1"/>
        </w:numPr>
        <w:rPr/>
      </w:pPr>
      <w:r>
        <w:rPr/>
        <w:t>Szkolenia pracowników w zakresie ochrony danych</w:t>
      </w:r>
    </w:p>
    <w:p>
      <w:pPr>
        <w:pStyle w:val="ListParagraph"/>
        <w:numPr>
          <w:ilvl w:val="0"/>
          <w:numId w:val="1"/>
        </w:numPr>
        <w:rPr/>
      </w:pPr>
      <w:r>
        <w:rPr/>
        <w:t>Procedury reagowania na incydenty bezpieczeństwa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8</w:t>
      </w:r>
      <w:r>
        <w:rPr/>
        <w:t>. Pliki Cookies</w:t>
      </w:r>
    </w:p>
    <w:p>
      <w:pPr>
        <w:pStyle w:val="Heading2"/>
        <w:rPr/>
      </w:pPr>
      <w:r>
        <w:rPr/>
        <w:t>9.1. Czym są pliki cookies?</w:t>
      </w:r>
    </w:p>
    <w:p>
      <w:pPr>
        <w:pStyle w:val="Normal"/>
        <w:rPr/>
      </w:pPr>
      <w:r>
        <w:rPr/>
        <w:t>Pliki cookies to małe pliki tekstowe zapisywane na urządzeniu użytkownika przez przeglądarkę internetową. Zawierają informacje niezbędne do prawidłowego działania strony oraz do analizy ruchu i zachowań użytkowników.</w:t>
      </w:r>
    </w:p>
    <w:p>
      <w:pPr>
        <w:pStyle w:val="Heading2"/>
        <w:rPr/>
      </w:pPr>
      <w:r>
        <w:rPr/>
        <w:t>9.2. Jakie pliki cookies używamy?</w:t>
      </w:r>
    </w:p>
    <w:p>
      <w:pPr>
        <w:pStyle w:val="Normal"/>
        <w:rPr/>
      </w:pPr>
      <w:r>
        <w:rPr>
          <w:b/>
          <w:bCs/>
        </w:rPr>
        <w:t>a) Cookies niezbędne (techniczne)</w:t>
      </w:r>
      <w:r>
        <w:rPr/>
        <w:t xml:space="preserve"> - Umożliwiają podstawowe funkcjonalności strony.</w:t>
      </w:r>
    </w:p>
    <w:p>
      <w:pPr>
        <w:pStyle w:val="Normal"/>
        <w:rPr/>
      </w:pPr>
      <w:r>
        <w:rPr>
          <w:b/>
          <w:bCs/>
        </w:rPr>
        <w:t>b) Cookies funkcjonalne</w:t>
      </w:r>
      <w:r>
        <w:rPr/>
        <w:t xml:space="preserve"> - Zapamiętują Państwa preferencje i wybory.</w:t>
      </w:r>
    </w:p>
    <w:p>
      <w:pPr>
        <w:pStyle w:val="Normal"/>
        <w:rPr/>
      </w:pPr>
      <w:r>
        <w:rPr>
          <w:b/>
          <w:bCs/>
        </w:rPr>
        <w:t>c) Cookies analityczne</w:t>
      </w:r>
      <w:r>
        <w:rPr/>
        <w:t xml:space="preserve"> - Zbierają informacje o sposobie korzystania ze strony w celach statystycznych.</w:t>
      </w:r>
    </w:p>
    <w:p>
      <w:pPr>
        <w:pStyle w:val="Normal"/>
        <w:rPr/>
      </w:pPr>
      <w:r>
        <w:rPr>
          <w:b/>
          <w:bCs/>
        </w:rPr>
        <w:t>d) Cookies marketingowe</w:t>
      </w:r>
      <w:r>
        <w:rPr/>
        <w:t xml:space="preserve"> - Służą do wyświetlania spersonalizowanych reklam.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10. Kontakt w Sprawach Ochrony Danych</w:t>
      </w:r>
    </w:p>
    <w:p>
      <w:pPr>
        <w:pStyle w:val="Normal"/>
        <w:rPr/>
      </w:pPr>
      <w:r>
        <w:rPr/>
        <w:t>W przypadku pytań dotyczących przetwarzania danych osobowych lub realizacji przysługujących Państwu praw, prosimy o kontakt:</w:t>
      </w:r>
    </w:p>
    <w:p>
      <w:pPr>
        <w:pStyle w:val="ContactBox"/>
        <w:shd w:val="clear" w:fill="E8F4F8"/>
        <w:rPr/>
      </w:pPr>
      <w:r>
        <w:rPr>
          <w:b/>
          <w:bCs/>
        </w:rPr>
        <w:t>IPOLISA Sp. z o.o.</w:t>
      </w:r>
    </w:p>
    <w:p>
      <w:pPr>
        <w:pStyle w:val="ContactBox"/>
        <w:shd w:val="clear" w:fill="E8F4F8"/>
        <w:rPr/>
      </w:pPr>
      <w:r>
        <w:rPr/>
        <w:t>ul. Leśna 5A</w:t>
      </w:r>
    </w:p>
    <w:p>
      <w:pPr>
        <w:pStyle w:val="ContactBox"/>
        <w:shd w:val="clear" w:fill="E8F4F8"/>
        <w:rPr/>
      </w:pPr>
      <w:r>
        <w:rPr/>
        <w:t>56-416 Goszcz</w:t>
      </w:r>
    </w:p>
    <w:p>
      <w:pPr>
        <w:pStyle w:val="ContactBox"/>
        <w:shd w:val="clear" w:fill="E8F4F8"/>
        <w:rPr/>
      </w:pPr>
      <w:r>
        <w:rPr/>
        <w:t xml:space="preserve">E-mail: </w:t>
      </w:r>
      <w:r>
        <w:rPr>
          <w:b/>
          <w:bCs/>
        </w:rPr>
        <w:t>rodo@ipolisa.pl</w:t>
      </w:r>
    </w:p>
    <w:p>
      <w:pPr>
        <w:pStyle w:val="ContactBox"/>
        <w:shd w:val="clear" w:fill="E8F4F8"/>
        <w:rPr>
          <w:b/>
          <w:b/>
          <w:bCs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240" w:after="0"/>
        <w:jc w:val="center"/>
        <w:rPr/>
      </w:pPr>
      <w:r>
        <w:rPr/>
        <w:t>_______________</w:t>
      </w:r>
    </w:p>
    <w:p>
      <w:pPr>
        <w:pStyle w:val="Normal"/>
        <w:spacing w:before="120" w:after="0"/>
        <w:jc w:val="center"/>
        <w:rPr/>
      </w:pPr>
      <w:r>
        <w:rPr>
          <w:b/>
          <w:bCs/>
        </w:rPr>
        <w:t>IPOLISA Sp. z o.o.</w:t>
      </w:r>
      <w:r>
        <w:rPr/>
        <w:t xml:space="preserve"> | KRS: 0000888324 | NIP: 8992895138 | REGON: 388389744</w:t>
      </w:r>
    </w:p>
    <w:p>
      <w:pPr>
        <w:pStyle w:val="Normal"/>
        <w:jc w:val="center"/>
        <w:rPr/>
      </w:pPr>
      <w:r>
        <w:rPr>
          <w:i/>
          <w:iCs/>
          <w:sz w:val="20"/>
          <w:szCs w:val="20"/>
        </w:rPr>
        <w:t>Niniejsza Polityka Prywatności jest zgodna z wymogami RODO i obowiązującymi przepisami prawa polskiego.</w:t>
      </w:r>
    </w:p>
    <w:p>
      <w:pPr>
        <w:pStyle w:val="Normal"/>
        <w:jc w:val="center"/>
        <w:rPr>
          <w:i/>
          <w:i/>
          <w:iCs/>
          <w:sz w:val="20"/>
          <w:szCs w:val="20"/>
        </w:rPr>
      </w:pPr>
      <w:r>
        <w:rPr/>
      </w:r>
    </w:p>
    <w:p>
      <w:pPr>
        <w:pStyle w:val="Normal"/>
        <w:jc w:val="center"/>
        <w:rPr/>
      </w:pPr>
      <w:r>
        <w:rPr>
          <w:i/>
          <w:iCs/>
          <w:sz w:val="20"/>
          <w:szCs w:val="20"/>
        </w:rPr>
        <w:t xml:space="preserve">Data ostatniej aktualizacji: </w:t>
      </w:r>
      <w:r>
        <w:rPr>
          <w:b/>
          <w:bCs/>
          <w:i/>
          <w:iCs/>
          <w:sz w:val="20"/>
          <w:szCs w:val="20"/>
        </w:rPr>
        <w:t>3.11.2025r.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Heading"/>
    <w:qFormat/>
    <w:pPr>
      <w:spacing w:before="240" w:after="180"/>
      <w:outlineLvl w:val="0"/>
    </w:pPr>
    <w:rPr>
      <w:rFonts w:ascii="Arial" w:hAnsi="Arial" w:eastAsia="Arial" w:cs="Arial"/>
      <w:b/>
      <w:bCs/>
      <w:color w:val="2C3E50"/>
      <w:sz w:val="28"/>
      <w:szCs w:val="28"/>
    </w:rPr>
  </w:style>
  <w:style w:type="paragraph" w:styleId="Heading2">
    <w:name w:val="Heading 2"/>
    <w:basedOn w:val="Heading"/>
    <w:qFormat/>
    <w:pPr>
      <w:spacing w:before="180" w:after="120"/>
      <w:outlineLvl w:val="1"/>
    </w:pPr>
    <w:rPr>
      <w:rFonts w:ascii="Arial" w:hAnsi="Arial" w:eastAsia="Arial" w:cs="Arial"/>
      <w:b/>
      <w:bCs/>
      <w:color w:val="34495E"/>
      <w:sz w:val="24"/>
      <w:szCs w:val="24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Internet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qFormat/>
    <w:pPr>
      <w:spacing w:before="240" w:after="240"/>
      <w:jc w:val="center"/>
    </w:pPr>
    <w:rPr>
      <w:rFonts w:ascii="Arial" w:hAnsi="Arial" w:eastAsia="Arial" w:cs="Arial"/>
      <w:b/>
      <w:bCs/>
      <w:color w:val="2C3E50"/>
      <w:sz w:val="48"/>
      <w:szCs w:val="48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pl-PL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Footnote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ontactBox">
    <w:name w:val="Contact Box"/>
    <w:qFormat/>
    <w:pPr>
      <w:widowControl/>
      <w:bidi w:val="0"/>
      <w:spacing w:before="120" w:after="120"/>
      <w:ind w:left="360" w:right="36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LibreOffice/7.1.2.2$MacOSX_X86_64 LibreOffice_project/8a45595d069ef5570103caea1b71cc9d82b2aae4</Application>
  <AppVersion>15.0000</AppVersion>
  <Pages>4</Pages>
  <Words>804</Words>
  <Characters>5187</Characters>
  <CharactersWithSpaces>5875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2025-10-30T15:22:30Z</dcterms:created>
  <dc:creator>Un-named</dc:creator>
  <dc:description/>
  <dc:language>pl-PL</dc:language>
  <cp:lastModifiedBy>P K</cp:lastModifiedBy>
  <dcterms:modified xsi:type="dcterms:W3CDTF">2025-10-30T16:34:18Z</dcterms:modified>
  <cp:revision>2</cp:revision>
  <dc:subject/>
  <dc:title/>
</cp:coreProperties>
</file>